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RELATÓRIO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FINAL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INVESTIGAÇÃO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DEFENSIVA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[NÚMERO]/[ANO], instaurado em [DATA DE INSTAURAÇÃO]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PROCEDIMENTO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Os presentes autos foram instaurados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INSTAURAÇÃO</w:t>
      </w:r>
      <w:r>
        <w:rPr>
          <w:rFonts w:ascii="Times New Roman" w:hAnsi="Times New Roman" w:eastAsia="Times New Roman" w:cs="Times New Roman"/>
          <w:b w:val="0"/>
          <w:sz w:val="24"/>
        </w:rPr>
        <w:t>], em favor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CONSTITUINTE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com o objeto delimitado no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Instauração</w:t>
      </w:r>
      <w:r>
        <w:rPr>
          <w:rFonts w:ascii="Times New Roman" w:hAnsi="Times New Roman" w:eastAsia="Times New Roman" w:cs="Times New Roman"/>
          <w:b w:val="0"/>
          <w:sz w:val="24"/>
        </w:rPr>
        <w:t>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OBJETO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NARRATIVA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FATOS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NARRATIVA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OBJETIVA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CRONOLÓGICA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APURADOS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REMISSÃO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ÀS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FOLHAS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ELEMENTOS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QUE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SUSTENTAM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CADA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AFIRMAÇÃO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DILIGÊNCIAS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REALIZADAS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Diligência 01: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cumprida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>], resultado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Diligência 02: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cumprida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>], resultado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Diligência 03: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cumprida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>], resultado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IV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ELEMENTOS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INFORMAÇÃO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COLIGIDOS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Os elementos de informação abaixo seguem indexados e numerados, na ordem de juntada aos autos: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Elemento 01: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DOCUMENTO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DECLARAÇÃO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LAUDO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OU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MÍDIA</w:t>
      </w:r>
      <w:r>
        <w:rPr>
          <w:rFonts w:ascii="Times New Roman" w:hAnsi="Times New Roman" w:eastAsia="Times New Roman" w:cs="Times New Roman"/>
          <w:b w:val="0"/>
          <w:sz w:val="24"/>
        </w:rPr>
        <w:t>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.], fonte: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ORIGEM</w:t>
      </w:r>
      <w:r>
        <w:rPr>
          <w:rFonts w:ascii="Times New Roman" w:hAnsi="Times New Roman" w:eastAsia="Times New Roman" w:cs="Times New Roman"/>
          <w:b w:val="0"/>
          <w:sz w:val="24"/>
        </w:rPr>
        <w:t>], forma de obtenção: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FORMA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OBTENÇÃO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Elemento 02: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>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.], fonte: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ORIGEM</w:t>
      </w:r>
      <w:r>
        <w:rPr>
          <w:rFonts w:ascii="Times New Roman" w:hAnsi="Times New Roman" w:eastAsia="Times New Roman" w:cs="Times New Roman"/>
          <w:b w:val="0"/>
          <w:sz w:val="24"/>
        </w:rPr>
        <w:t>], forma de obtenção: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FORMA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OBTENÇÃO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Elemento 03: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>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.], fonte: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ORIGEM</w:t>
      </w:r>
      <w:r>
        <w:rPr>
          <w:rFonts w:ascii="Times New Roman" w:hAnsi="Times New Roman" w:eastAsia="Times New Roman" w:cs="Times New Roman"/>
          <w:b w:val="0"/>
          <w:sz w:val="24"/>
        </w:rPr>
        <w:t>], forma de obtenção: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FORMA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OBTENÇÃO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V.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CADEIA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CUSTÓDIA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4.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Os elementos materiais e digitais foram coletados, acondicionados e armazenados com registro de origem, data, hora e responsável, na forma dos arts. 158-A a 158-F do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CPP</w:t>
      </w:r>
      <w:r>
        <w:rPr>
          <w:rFonts w:ascii="Times New Roman" w:hAnsi="Times New Roman" w:eastAsia="Times New Roman" w:cs="Times New Roman"/>
          <w:b w:val="0"/>
          <w:sz w:val="24"/>
        </w:rPr>
        <w:t>, conforme termos de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.], incluindo, quanto à prova digital, o cálculo de código hash e a preservação das mídias originais.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VI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LINHA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TEMPO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01]: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01],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02]: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02],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03]: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EVENTO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03],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VII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CONCLUSÕES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DOS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ENCAMINHAMENTOS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5.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Do conjunto coligido, extraem-se as seguintes conclusões técnicas, sempre referidas aos elementos que as sustentam: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CONCLUSÕES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OBJETIVAS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tabs>
          <w:tab w:pos="2268" w:val="left"/>
        </w:tabs>
        <w:spacing w:line="360" w:lineRule="auto" w:before="120" w:after="240"/>
        <w:ind w:left="0"/>
      </w:pPr>
      <w:r>
        <w:rPr>
          <w:rFonts w:ascii="Times New Roman" w:hAnsi="Times New Roman" w:eastAsia="Times New Roman" w:cs="Times New Roman"/>
          <w:sz w:val="24"/>
        </w:rPr>
        <w:t>6.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Quanto ao destino do procedimento, propõe-se ao(à) constituinte: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ENCAMINHAMENTO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: juntada integral ou parcial aos autos oficiais; utilização em tratativas; arquivamento interno], observados o sigilo profissional (Lei n.º 8.906/1994, art. 7º,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II</w:t>
      </w:r>
      <w:r>
        <w:rPr>
          <w:rFonts w:ascii="Times New Roman" w:hAnsi="Times New Roman" w:eastAsia="Times New Roman" w:cs="Times New Roman"/>
          <w:b w:val="0"/>
          <w:sz w:val="24"/>
        </w:rPr>
        <w:t>; Provimento n.º 188/2018-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CFOAB</w:t>
      </w:r>
      <w:r>
        <w:rPr>
          <w:rFonts w:ascii="Times New Roman" w:hAnsi="Times New Roman" w:eastAsia="Times New Roman" w:cs="Times New Roman"/>
          <w:b w:val="0"/>
          <w:sz w:val="24"/>
        </w:rPr>
        <w:t>, arts. 5º e 6º) e a reserva de estratégia da defesa, sem qualquer garantia de resultado, que depende da apreciação das autoridades competentes.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encerra o presente relatório.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